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13E" w:rsidRDefault="00ED113E" w:rsidP="00ED113E">
      <w:pPr>
        <w:jc w:val="center"/>
        <w:outlineLvl w:val="0"/>
        <w:rPr>
          <w:sz w:val="32"/>
          <w:szCs w:val="32"/>
        </w:rPr>
      </w:pPr>
      <w:r>
        <w:rPr>
          <w:noProof/>
          <w:sz w:val="28"/>
        </w:rPr>
        <w:drawing>
          <wp:inline distT="0" distB="0" distL="0" distR="0">
            <wp:extent cx="514350" cy="619125"/>
            <wp:effectExtent l="19050" t="0" r="0" b="0"/>
            <wp:docPr id="2" name="Рисунок 1" descr="клип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лип0010"/>
                    <pic:cNvPicPr>
                      <a:picLocks noChangeAspect="1" noChangeArrowheads="1"/>
                    </pic:cNvPicPr>
                  </pic:nvPicPr>
                  <pic:blipFill>
                    <a:blip r:embed="rId7" cstate="print"/>
                    <a:srcRect/>
                    <a:stretch>
                      <a:fillRect/>
                    </a:stretch>
                  </pic:blipFill>
                  <pic:spPr bwMode="auto">
                    <a:xfrm>
                      <a:off x="0" y="0"/>
                      <a:ext cx="514350" cy="619125"/>
                    </a:xfrm>
                    <a:prstGeom prst="rect">
                      <a:avLst/>
                    </a:prstGeom>
                    <a:noFill/>
                    <a:ln w="9525">
                      <a:noFill/>
                      <a:miter lim="800000"/>
                      <a:headEnd/>
                      <a:tailEnd/>
                    </a:ln>
                  </pic:spPr>
                </pic:pic>
              </a:graphicData>
            </a:graphic>
          </wp:inline>
        </w:drawing>
      </w:r>
    </w:p>
    <w:p w:rsidR="00ED113E" w:rsidRPr="00DE2A22" w:rsidRDefault="00ED113E" w:rsidP="00ED113E">
      <w:pPr>
        <w:jc w:val="center"/>
        <w:outlineLvl w:val="0"/>
        <w:rPr>
          <w:sz w:val="32"/>
          <w:szCs w:val="32"/>
        </w:rPr>
      </w:pPr>
    </w:p>
    <w:p w:rsidR="00ED113E" w:rsidRPr="00AC0F93" w:rsidRDefault="00ED113E" w:rsidP="00ED113E">
      <w:pPr>
        <w:jc w:val="center"/>
        <w:rPr>
          <w:b/>
          <w:sz w:val="28"/>
          <w:szCs w:val="28"/>
          <w:u w:val="single"/>
        </w:rPr>
      </w:pPr>
      <w:r>
        <w:rPr>
          <w:b/>
          <w:sz w:val="28"/>
          <w:szCs w:val="28"/>
          <w:u w:val="single"/>
        </w:rPr>
        <w:t>________</w:t>
      </w:r>
      <w:r w:rsidRPr="00AC0F93">
        <w:rPr>
          <w:b/>
          <w:sz w:val="28"/>
          <w:szCs w:val="28"/>
          <w:u w:val="single"/>
        </w:rPr>
        <w:t>РЕВИЗИОННАЯ КОМИССИЯ УБИНСКОГО РАЙОНА</w:t>
      </w:r>
      <w:r>
        <w:rPr>
          <w:b/>
          <w:sz w:val="28"/>
          <w:szCs w:val="28"/>
          <w:u w:val="single"/>
        </w:rPr>
        <w:t>_______</w:t>
      </w:r>
    </w:p>
    <w:p w:rsidR="00ED113E" w:rsidRPr="00C60E82" w:rsidRDefault="00ED113E" w:rsidP="00ED113E">
      <w:pPr>
        <w:rPr>
          <w:sz w:val="16"/>
          <w:szCs w:val="16"/>
        </w:rPr>
      </w:pPr>
      <w:r>
        <w:rPr>
          <w:sz w:val="16"/>
          <w:szCs w:val="16"/>
        </w:rPr>
        <w:t xml:space="preserve">           </w:t>
      </w:r>
      <w:r w:rsidRPr="00C60E82">
        <w:rPr>
          <w:sz w:val="16"/>
          <w:szCs w:val="16"/>
        </w:rPr>
        <w:t xml:space="preserve">632521,с. Убинское, ул. Ленина, 23.                                    </w:t>
      </w:r>
      <w:r>
        <w:rPr>
          <w:sz w:val="16"/>
          <w:szCs w:val="16"/>
        </w:rPr>
        <w:t xml:space="preserve">                                            </w:t>
      </w:r>
      <w:r w:rsidRPr="00C60E82">
        <w:rPr>
          <w:sz w:val="16"/>
          <w:szCs w:val="16"/>
        </w:rPr>
        <w:t xml:space="preserve">               Тел./факс: (66) 21-148  </w:t>
      </w:r>
      <w:r w:rsidRPr="00C60E82">
        <w:rPr>
          <w:sz w:val="16"/>
          <w:szCs w:val="16"/>
          <w:lang w:val="en-US"/>
        </w:rPr>
        <w:t>E</w:t>
      </w:r>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rkubin</w:t>
      </w:r>
      <w:proofErr w:type="spellEnd"/>
      <w:r w:rsidRPr="00C60E82">
        <w:rPr>
          <w:sz w:val="16"/>
          <w:szCs w:val="16"/>
        </w:rPr>
        <w:t>@</w:t>
      </w:r>
      <w:r w:rsidRPr="00C60E82">
        <w:rPr>
          <w:sz w:val="16"/>
          <w:szCs w:val="16"/>
          <w:lang w:val="en-US"/>
        </w:rPr>
        <w:t>mail</w:t>
      </w:r>
      <w:r w:rsidRPr="00C60E82">
        <w:rPr>
          <w:sz w:val="16"/>
          <w:szCs w:val="16"/>
        </w:rPr>
        <w:t>.</w:t>
      </w:r>
      <w:proofErr w:type="spellStart"/>
      <w:r w:rsidRPr="00C60E82">
        <w:rPr>
          <w:sz w:val="16"/>
          <w:szCs w:val="16"/>
          <w:lang w:val="en-US"/>
        </w:rPr>
        <w:t>ru</w:t>
      </w:r>
      <w:proofErr w:type="spellEnd"/>
    </w:p>
    <w:p w:rsidR="00ED113E" w:rsidRDefault="00ED113E" w:rsidP="00ED113E"/>
    <w:p w:rsidR="00ED113E" w:rsidRPr="000228FF" w:rsidRDefault="00ED113E" w:rsidP="00ED113E"/>
    <w:p w:rsidR="00ED113E" w:rsidRPr="005C6C68" w:rsidRDefault="00ED113E" w:rsidP="00ED113E">
      <w:pPr>
        <w:tabs>
          <w:tab w:val="left" w:pos="3630"/>
        </w:tabs>
        <w:rPr>
          <w:b/>
          <w:sz w:val="32"/>
          <w:szCs w:val="32"/>
        </w:rPr>
      </w:pPr>
      <w:r>
        <w:tab/>
      </w:r>
      <w:r w:rsidRPr="005C6C68">
        <w:rPr>
          <w:b/>
          <w:sz w:val="32"/>
          <w:szCs w:val="32"/>
        </w:rPr>
        <w:t>Информация</w:t>
      </w:r>
    </w:p>
    <w:p w:rsidR="00ED113E" w:rsidRPr="00706CC7" w:rsidRDefault="00ED113E" w:rsidP="00ED113E">
      <w:pPr>
        <w:pStyle w:val="a7"/>
        <w:tabs>
          <w:tab w:val="left" w:pos="7560"/>
        </w:tabs>
        <w:spacing w:after="0" w:line="276" w:lineRule="auto"/>
        <w:rPr>
          <w:b/>
          <w:sz w:val="28"/>
          <w:szCs w:val="28"/>
        </w:rPr>
      </w:pPr>
      <w:r w:rsidRPr="00706CC7">
        <w:rPr>
          <w:b/>
          <w:sz w:val="28"/>
          <w:szCs w:val="28"/>
        </w:rPr>
        <w:t>По результатам проверки законности</w:t>
      </w:r>
      <w:r>
        <w:rPr>
          <w:b/>
          <w:sz w:val="28"/>
          <w:szCs w:val="28"/>
        </w:rPr>
        <w:t xml:space="preserve"> и </w:t>
      </w:r>
      <w:r w:rsidRPr="00706CC7">
        <w:rPr>
          <w:b/>
          <w:sz w:val="28"/>
          <w:szCs w:val="28"/>
        </w:rPr>
        <w:t xml:space="preserve"> результативности (эффективности</w:t>
      </w:r>
      <w:r>
        <w:rPr>
          <w:b/>
          <w:sz w:val="28"/>
          <w:szCs w:val="28"/>
        </w:rPr>
        <w:t xml:space="preserve"> и</w:t>
      </w:r>
      <w:r w:rsidRPr="00706CC7">
        <w:rPr>
          <w:b/>
          <w:sz w:val="28"/>
          <w:szCs w:val="28"/>
        </w:rPr>
        <w:t xml:space="preserve"> экономичности) использования бюджет</w:t>
      </w:r>
      <w:r>
        <w:rPr>
          <w:b/>
          <w:sz w:val="28"/>
          <w:szCs w:val="28"/>
        </w:rPr>
        <w:t>ных средств</w:t>
      </w:r>
      <w:r w:rsidRPr="00706CC7">
        <w:rPr>
          <w:b/>
          <w:sz w:val="28"/>
          <w:szCs w:val="28"/>
        </w:rPr>
        <w:t>, направленных на обеспечение деятельности МК</w:t>
      </w:r>
      <w:r>
        <w:rPr>
          <w:b/>
          <w:sz w:val="28"/>
          <w:szCs w:val="28"/>
        </w:rPr>
        <w:t xml:space="preserve">У </w:t>
      </w:r>
      <w:proofErr w:type="gramStart"/>
      <w:r>
        <w:rPr>
          <w:b/>
          <w:sz w:val="28"/>
          <w:szCs w:val="28"/>
        </w:rPr>
        <w:t>ДО</w:t>
      </w:r>
      <w:proofErr w:type="gramEnd"/>
      <w:r w:rsidRPr="00706CC7">
        <w:rPr>
          <w:b/>
          <w:sz w:val="28"/>
          <w:szCs w:val="28"/>
        </w:rPr>
        <w:t xml:space="preserve"> «</w:t>
      </w:r>
      <w:proofErr w:type="gramStart"/>
      <w:r>
        <w:rPr>
          <w:b/>
          <w:sz w:val="28"/>
          <w:szCs w:val="28"/>
        </w:rPr>
        <w:t>Дом</w:t>
      </w:r>
      <w:proofErr w:type="gramEnd"/>
      <w:r>
        <w:rPr>
          <w:b/>
          <w:sz w:val="28"/>
          <w:szCs w:val="28"/>
        </w:rPr>
        <w:t xml:space="preserve"> творчества детей и молодежи» Убинского района Новосибирской области в 2019</w:t>
      </w:r>
      <w:r w:rsidRPr="00706CC7">
        <w:rPr>
          <w:b/>
          <w:sz w:val="28"/>
          <w:szCs w:val="28"/>
        </w:rPr>
        <w:t xml:space="preserve"> </w:t>
      </w:r>
      <w:r>
        <w:rPr>
          <w:b/>
          <w:sz w:val="28"/>
          <w:szCs w:val="28"/>
        </w:rPr>
        <w:t>г</w:t>
      </w:r>
      <w:r w:rsidRPr="00706CC7">
        <w:rPr>
          <w:b/>
          <w:sz w:val="28"/>
          <w:szCs w:val="28"/>
        </w:rPr>
        <w:t>од</w:t>
      </w:r>
      <w:r>
        <w:rPr>
          <w:b/>
          <w:sz w:val="28"/>
          <w:szCs w:val="28"/>
        </w:rPr>
        <w:t>у</w:t>
      </w:r>
      <w:r w:rsidRPr="00706CC7">
        <w:rPr>
          <w:b/>
          <w:sz w:val="28"/>
          <w:szCs w:val="28"/>
        </w:rPr>
        <w:t>.</w:t>
      </w:r>
    </w:p>
    <w:p w:rsidR="00ED113E" w:rsidRPr="00A50CD8" w:rsidRDefault="00ED113E" w:rsidP="00ED113E">
      <w:pPr>
        <w:pStyle w:val="a7"/>
        <w:tabs>
          <w:tab w:val="left" w:pos="7560"/>
        </w:tabs>
        <w:spacing w:after="0" w:line="276" w:lineRule="auto"/>
        <w:rPr>
          <w:sz w:val="28"/>
          <w:szCs w:val="28"/>
        </w:rPr>
      </w:pPr>
      <w:r w:rsidRPr="00B65F25">
        <w:rPr>
          <w:sz w:val="28"/>
          <w:szCs w:val="28"/>
        </w:rPr>
        <w:t>Настоящ</w:t>
      </w:r>
      <w:r>
        <w:rPr>
          <w:sz w:val="28"/>
          <w:szCs w:val="28"/>
        </w:rPr>
        <w:t xml:space="preserve">ая </w:t>
      </w:r>
      <w:r w:rsidRPr="00B65F25">
        <w:rPr>
          <w:sz w:val="28"/>
          <w:szCs w:val="28"/>
        </w:rPr>
        <w:t xml:space="preserve"> </w:t>
      </w:r>
      <w:r>
        <w:rPr>
          <w:sz w:val="28"/>
          <w:szCs w:val="28"/>
        </w:rPr>
        <w:t xml:space="preserve">информация </w:t>
      </w:r>
      <w:r w:rsidRPr="00B65F25">
        <w:rPr>
          <w:sz w:val="28"/>
          <w:szCs w:val="28"/>
        </w:rPr>
        <w:t xml:space="preserve"> составлен</w:t>
      </w:r>
      <w:r>
        <w:rPr>
          <w:sz w:val="28"/>
          <w:szCs w:val="28"/>
        </w:rPr>
        <w:t xml:space="preserve">а </w:t>
      </w:r>
      <w:r w:rsidRPr="00B65F25">
        <w:rPr>
          <w:sz w:val="28"/>
          <w:szCs w:val="28"/>
        </w:rPr>
        <w:t xml:space="preserve"> </w:t>
      </w:r>
      <w:r>
        <w:rPr>
          <w:sz w:val="28"/>
          <w:szCs w:val="28"/>
        </w:rPr>
        <w:t xml:space="preserve">председателем ревизионной комиссии Убинского района по акту </w:t>
      </w:r>
      <w:r w:rsidRPr="00037651">
        <w:rPr>
          <w:sz w:val="28"/>
          <w:szCs w:val="28"/>
        </w:rPr>
        <w:t xml:space="preserve">проверки законности,  результативности (эффективности и экономичности) использования бюджетных средств, направленных на обеспечение деятельности </w:t>
      </w:r>
      <w:r w:rsidRPr="00A50CD8">
        <w:rPr>
          <w:sz w:val="28"/>
          <w:szCs w:val="28"/>
        </w:rPr>
        <w:t xml:space="preserve">МКУ </w:t>
      </w:r>
      <w:proofErr w:type="gramStart"/>
      <w:r w:rsidRPr="00A50CD8">
        <w:rPr>
          <w:sz w:val="28"/>
          <w:szCs w:val="28"/>
        </w:rPr>
        <w:t>ДО</w:t>
      </w:r>
      <w:proofErr w:type="gramEnd"/>
      <w:r w:rsidRPr="00A50CD8">
        <w:rPr>
          <w:sz w:val="28"/>
          <w:szCs w:val="28"/>
        </w:rPr>
        <w:t xml:space="preserve"> «</w:t>
      </w:r>
      <w:proofErr w:type="gramStart"/>
      <w:r w:rsidRPr="00A50CD8">
        <w:rPr>
          <w:sz w:val="28"/>
          <w:szCs w:val="28"/>
        </w:rPr>
        <w:t>Дом</w:t>
      </w:r>
      <w:proofErr w:type="gramEnd"/>
      <w:r w:rsidRPr="00A50CD8">
        <w:rPr>
          <w:sz w:val="28"/>
          <w:szCs w:val="28"/>
        </w:rPr>
        <w:t xml:space="preserve"> творчества детей и молодежи» Убинского района Новосибирской области в 2019 году.</w:t>
      </w:r>
    </w:p>
    <w:p w:rsidR="00ED113E" w:rsidRPr="00300D4E" w:rsidRDefault="00ED113E" w:rsidP="00ED113E">
      <w:pPr>
        <w:pStyle w:val="aa"/>
        <w:spacing w:line="276" w:lineRule="auto"/>
        <w:rPr>
          <w:rFonts w:ascii="Times New Roman" w:hAnsi="Times New Roman"/>
          <w:sz w:val="28"/>
          <w:szCs w:val="28"/>
        </w:rPr>
      </w:pPr>
      <w:r>
        <w:rPr>
          <w:rFonts w:ascii="Times New Roman" w:hAnsi="Times New Roman"/>
          <w:i/>
          <w:sz w:val="28"/>
          <w:szCs w:val="28"/>
        </w:rPr>
        <w:t>Были проверены д</w:t>
      </w:r>
      <w:r w:rsidRPr="00300D4E">
        <w:rPr>
          <w:rFonts w:ascii="Times New Roman" w:hAnsi="Times New Roman"/>
          <w:sz w:val="28"/>
          <w:szCs w:val="28"/>
        </w:rPr>
        <w:t>окументы, подтверждающие фактическое поступление и расходование средств бюджета района, финансовая (бюджетная) отчетность; нормативные правовые акты и иные распорядительные документы, обосновывающие операции со средствами учреждения.</w:t>
      </w:r>
    </w:p>
    <w:p w:rsidR="00ED113E" w:rsidRPr="00CD55AD" w:rsidRDefault="00ED113E" w:rsidP="00ED113E"/>
    <w:p w:rsidR="00ED113E" w:rsidRDefault="00ED113E" w:rsidP="00ED113E">
      <w:pPr>
        <w:rPr>
          <w:b/>
          <w:sz w:val="28"/>
          <w:szCs w:val="28"/>
        </w:rPr>
      </w:pPr>
      <w:r w:rsidRPr="00687277">
        <w:rPr>
          <w:b/>
          <w:sz w:val="28"/>
          <w:szCs w:val="28"/>
        </w:rPr>
        <w:t>В ходе внешней проверки установлено:</w:t>
      </w:r>
    </w:p>
    <w:p w:rsidR="00ED113E" w:rsidRPr="000A3132" w:rsidRDefault="00ED113E" w:rsidP="004A2BC4">
      <w:pPr>
        <w:pStyle w:val="aa"/>
        <w:spacing w:line="276" w:lineRule="auto"/>
        <w:rPr>
          <w:rFonts w:ascii="Times New Roman" w:hAnsi="Times New Roman"/>
          <w:sz w:val="28"/>
          <w:szCs w:val="28"/>
        </w:rPr>
      </w:pPr>
      <w:r w:rsidRPr="000A3132">
        <w:rPr>
          <w:rFonts w:ascii="Times New Roman" w:hAnsi="Times New Roman"/>
          <w:sz w:val="28"/>
          <w:szCs w:val="28"/>
        </w:rPr>
        <w:t>Реестр муниципальных контрактов, размещенный в единой информационной системе,</w:t>
      </w:r>
      <w:r>
        <w:rPr>
          <w:rFonts w:ascii="Times New Roman" w:hAnsi="Times New Roman"/>
          <w:sz w:val="28"/>
          <w:szCs w:val="28"/>
        </w:rPr>
        <w:t xml:space="preserve"> не</w:t>
      </w:r>
      <w:r w:rsidRPr="000A3132">
        <w:rPr>
          <w:rFonts w:ascii="Times New Roman" w:hAnsi="Times New Roman"/>
          <w:sz w:val="28"/>
          <w:szCs w:val="28"/>
        </w:rPr>
        <w:t xml:space="preserve"> содержит </w:t>
      </w:r>
      <w:r>
        <w:rPr>
          <w:rFonts w:ascii="Times New Roman" w:hAnsi="Times New Roman"/>
          <w:sz w:val="28"/>
          <w:szCs w:val="28"/>
        </w:rPr>
        <w:t>к</w:t>
      </w:r>
      <w:r w:rsidRPr="000A3132">
        <w:rPr>
          <w:rFonts w:ascii="Times New Roman" w:hAnsi="Times New Roman"/>
          <w:sz w:val="28"/>
          <w:szCs w:val="28"/>
        </w:rPr>
        <w:t>онтракт</w:t>
      </w:r>
      <w:r>
        <w:rPr>
          <w:rFonts w:ascii="Times New Roman" w:hAnsi="Times New Roman"/>
          <w:sz w:val="28"/>
          <w:szCs w:val="28"/>
        </w:rPr>
        <w:t xml:space="preserve"> </w:t>
      </w:r>
      <w:r w:rsidRPr="000A3132">
        <w:rPr>
          <w:rFonts w:ascii="Times New Roman" w:hAnsi="Times New Roman"/>
          <w:sz w:val="28"/>
          <w:szCs w:val="28"/>
        </w:rPr>
        <w:t>№0151300011319000101</w:t>
      </w:r>
      <w:r>
        <w:rPr>
          <w:rFonts w:ascii="Times New Roman" w:hAnsi="Times New Roman"/>
          <w:sz w:val="28"/>
          <w:szCs w:val="28"/>
        </w:rPr>
        <w:t xml:space="preserve"> </w:t>
      </w:r>
      <w:r w:rsidRPr="000A3132">
        <w:rPr>
          <w:rFonts w:ascii="Times New Roman" w:hAnsi="Times New Roman"/>
          <w:sz w:val="28"/>
          <w:szCs w:val="28"/>
        </w:rPr>
        <w:t>на выполнение работ по ремонту кровли здания, заключенного  по результатам электронного аукциона на сумму 669663,6 руб., в нарушение пункта 9,части 2 статьи 103 Федерального закона №44-ФЗ.</w:t>
      </w:r>
    </w:p>
    <w:p w:rsidR="00ED113E" w:rsidRPr="001A70ED" w:rsidRDefault="00ED113E" w:rsidP="004A2BC4">
      <w:pPr>
        <w:pStyle w:val="aa"/>
        <w:spacing w:line="276" w:lineRule="auto"/>
        <w:rPr>
          <w:rFonts w:ascii="Times New Roman" w:hAnsi="Times New Roman"/>
          <w:sz w:val="28"/>
          <w:szCs w:val="28"/>
        </w:rPr>
      </w:pPr>
      <w:r w:rsidRPr="001A70ED">
        <w:rPr>
          <w:rFonts w:ascii="Times New Roman" w:hAnsi="Times New Roman"/>
          <w:sz w:val="28"/>
          <w:szCs w:val="28"/>
        </w:rPr>
        <w:t>Содержание отчета о закупках у субъектов малого предпринимательства за 2019 год</w:t>
      </w:r>
      <w:r>
        <w:rPr>
          <w:rFonts w:ascii="Times New Roman" w:hAnsi="Times New Roman"/>
          <w:sz w:val="28"/>
          <w:szCs w:val="28"/>
        </w:rPr>
        <w:t>, р</w:t>
      </w:r>
      <w:r w:rsidRPr="001A70ED">
        <w:rPr>
          <w:rFonts w:ascii="Times New Roman" w:hAnsi="Times New Roman"/>
          <w:sz w:val="28"/>
          <w:szCs w:val="28"/>
        </w:rPr>
        <w:t>азмещен</w:t>
      </w:r>
      <w:r>
        <w:rPr>
          <w:rFonts w:ascii="Times New Roman" w:hAnsi="Times New Roman"/>
          <w:sz w:val="28"/>
          <w:szCs w:val="28"/>
        </w:rPr>
        <w:t>ного  на</w:t>
      </w:r>
      <w:r w:rsidRPr="001A70ED">
        <w:rPr>
          <w:rFonts w:ascii="Times New Roman" w:hAnsi="Times New Roman"/>
          <w:sz w:val="28"/>
          <w:szCs w:val="28"/>
        </w:rPr>
        <w:t xml:space="preserve"> официальном сайте</w:t>
      </w:r>
      <w:r>
        <w:rPr>
          <w:rFonts w:ascii="Times New Roman" w:hAnsi="Times New Roman"/>
          <w:sz w:val="28"/>
          <w:szCs w:val="28"/>
        </w:rPr>
        <w:t xml:space="preserve">, </w:t>
      </w:r>
      <w:r w:rsidRPr="001A70ED">
        <w:rPr>
          <w:rFonts w:ascii="Times New Roman" w:hAnsi="Times New Roman"/>
          <w:sz w:val="28"/>
          <w:szCs w:val="28"/>
        </w:rPr>
        <w:t>не соответствует данным годового отчета  за 2019 год (СГОЗ фактически 3038618,95</w:t>
      </w:r>
      <w:r>
        <w:rPr>
          <w:rFonts w:ascii="Times New Roman" w:hAnsi="Times New Roman"/>
          <w:sz w:val="28"/>
          <w:szCs w:val="28"/>
        </w:rPr>
        <w:t xml:space="preserve"> </w:t>
      </w:r>
      <w:r w:rsidRPr="001A70ED">
        <w:rPr>
          <w:rFonts w:ascii="Times New Roman" w:hAnsi="Times New Roman"/>
          <w:sz w:val="28"/>
          <w:szCs w:val="28"/>
        </w:rPr>
        <w:t>руб., по данному отчету 3122200,41</w:t>
      </w:r>
      <w:r>
        <w:rPr>
          <w:rFonts w:ascii="Times New Roman" w:hAnsi="Times New Roman"/>
          <w:sz w:val="28"/>
          <w:szCs w:val="28"/>
        </w:rPr>
        <w:t xml:space="preserve"> </w:t>
      </w:r>
      <w:r w:rsidRPr="001A70ED">
        <w:rPr>
          <w:rFonts w:ascii="Times New Roman" w:hAnsi="Times New Roman"/>
          <w:sz w:val="28"/>
          <w:szCs w:val="28"/>
        </w:rPr>
        <w:t>руб. и т.д.).</w:t>
      </w:r>
    </w:p>
    <w:p w:rsidR="00ED113E" w:rsidRPr="000A3132" w:rsidRDefault="00ED113E" w:rsidP="004A2BC4">
      <w:pPr>
        <w:pStyle w:val="aa"/>
        <w:rPr>
          <w:rFonts w:ascii="Times New Roman" w:hAnsi="Times New Roman"/>
          <w:sz w:val="28"/>
          <w:szCs w:val="28"/>
          <w:lang w:eastAsia="ru-RU"/>
        </w:rPr>
      </w:pPr>
      <w:r w:rsidRPr="000A3132">
        <w:rPr>
          <w:rFonts w:ascii="Times New Roman" w:hAnsi="Times New Roman"/>
          <w:sz w:val="28"/>
          <w:szCs w:val="28"/>
          <w:lang w:eastAsia="ru-RU"/>
        </w:rPr>
        <w:t xml:space="preserve">При проверке </w:t>
      </w:r>
      <w:r>
        <w:rPr>
          <w:rFonts w:ascii="Times New Roman" w:hAnsi="Times New Roman"/>
          <w:sz w:val="28"/>
          <w:szCs w:val="28"/>
          <w:lang w:eastAsia="ru-RU"/>
        </w:rPr>
        <w:t>муниципальных контрактов</w:t>
      </w:r>
      <w:r w:rsidRPr="000A3132">
        <w:rPr>
          <w:rFonts w:ascii="Times New Roman" w:hAnsi="Times New Roman"/>
          <w:sz w:val="28"/>
          <w:szCs w:val="28"/>
          <w:lang w:eastAsia="ru-RU"/>
        </w:rPr>
        <w:t xml:space="preserve">  выявлены следующие ошибки:</w:t>
      </w:r>
    </w:p>
    <w:p w:rsidR="00ED113E" w:rsidRDefault="00ED113E" w:rsidP="00ED113E">
      <w:pPr>
        <w:pStyle w:val="aa"/>
        <w:spacing w:line="276" w:lineRule="auto"/>
        <w:ind w:left="644"/>
        <w:rPr>
          <w:rFonts w:ascii="Times New Roman" w:hAnsi="Times New Roman"/>
          <w:sz w:val="28"/>
          <w:szCs w:val="28"/>
          <w:lang w:eastAsia="ru-RU"/>
        </w:rPr>
      </w:pPr>
      <w:r w:rsidRPr="00F45FC4">
        <w:rPr>
          <w:rFonts w:ascii="Times New Roman" w:hAnsi="Times New Roman"/>
          <w:sz w:val="28"/>
          <w:szCs w:val="28"/>
          <w:lang w:eastAsia="ru-RU"/>
        </w:rPr>
        <w:t xml:space="preserve"> </w:t>
      </w:r>
      <w:r>
        <w:rPr>
          <w:rFonts w:ascii="Times New Roman" w:hAnsi="Times New Roman"/>
          <w:sz w:val="28"/>
          <w:szCs w:val="28"/>
          <w:lang w:eastAsia="ru-RU"/>
        </w:rPr>
        <w:t xml:space="preserve"> имеют место </w:t>
      </w:r>
      <w:r w:rsidRPr="00F45FC4">
        <w:rPr>
          <w:rFonts w:ascii="Times New Roman" w:hAnsi="Times New Roman"/>
          <w:sz w:val="28"/>
          <w:szCs w:val="28"/>
          <w:lang w:eastAsia="ru-RU"/>
        </w:rPr>
        <w:t>не</w:t>
      </w:r>
      <w:r>
        <w:rPr>
          <w:rFonts w:ascii="Times New Roman" w:hAnsi="Times New Roman"/>
          <w:sz w:val="28"/>
          <w:szCs w:val="28"/>
          <w:lang w:eastAsia="ru-RU"/>
        </w:rPr>
        <w:t xml:space="preserve"> </w:t>
      </w:r>
      <w:r w:rsidRPr="00F45FC4">
        <w:rPr>
          <w:rFonts w:ascii="Times New Roman" w:hAnsi="Times New Roman"/>
          <w:sz w:val="28"/>
          <w:szCs w:val="28"/>
          <w:lang w:eastAsia="ru-RU"/>
        </w:rPr>
        <w:t xml:space="preserve">точные формулировки </w:t>
      </w:r>
      <w:r>
        <w:rPr>
          <w:rFonts w:ascii="Times New Roman" w:hAnsi="Times New Roman"/>
          <w:sz w:val="28"/>
          <w:szCs w:val="28"/>
          <w:lang w:eastAsia="ru-RU"/>
        </w:rPr>
        <w:t xml:space="preserve"> (или их отсутствие)</w:t>
      </w:r>
      <w:r w:rsidRPr="00F45FC4">
        <w:rPr>
          <w:rFonts w:ascii="Times New Roman" w:hAnsi="Times New Roman"/>
          <w:sz w:val="28"/>
          <w:szCs w:val="28"/>
          <w:lang w:eastAsia="ru-RU"/>
        </w:rPr>
        <w:t xml:space="preserve"> положений договоров (предмета, условий, обязательств, сроков, стоимости, количества и качества товаров, работ, услуг, прав и обязанностей сторон и т. д.)</w:t>
      </w:r>
      <w:proofErr w:type="gramStart"/>
      <w:r>
        <w:rPr>
          <w:rFonts w:ascii="Times New Roman" w:hAnsi="Times New Roman"/>
          <w:sz w:val="28"/>
          <w:szCs w:val="28"/>
          <w:lang w:eastAsia="ru-RU"/>
        </w:rPr>
        <w:t>,с</w:t>
      </w:r>
      <w:proofErr w:type="gramEnd"/>
      <w:r>
        <w:rPr>
          <w:rFonts w:ascii="Times New Roman" w:hAnsi="Times New Roman"/>
          <w:sz w:val="28"/>
          <w:szCs w:val="28"/>
          <w:lang w:eastAsia="ru-RU"/>
        </w:rPr>
        <w:t>роки действия контр</w:t>
      </w:r>
      <w:r w:rsidR="00F5634B">
        <w:rPr>
          <w:rFonts w:ascii="Times New Roman" w:hAnsi="Times New Roman"/>
          <w:sz w:val="28"/>
          <w:szCs w:val="28"/>
          <w:lang w:eastAsia="ru-RU"/>
        </w:rPr>
        <w:t>а</w:t>
      </w:r>
      <w:r>
        <w:rPr>
          <w:rFonts w:ascii="Times New Roman" w:hAnsi="Times New Roman"/>
          <w:sz w:val="28"/>
          <w:szCs w:val="28"/>
          <w:lang w:eastAsia="ru-RU"/>
        </w:rPr>
        <w:t>ктов</w:t>
      </w:r>
      <w:r w:rsidRPr="00F45FC4">
        <w:rPr>
          <w:rFonts w:ascii="Times New Roman" w:hAnsi="Times New Roman"/>
          <w:sz w:val="28"/>
          <w:szCs w:val="28"/>
          <w:lang w:eastAsia="ru-RU"/>
        </w:rPr>
        <w:t>;</w:t>
      </w:r>
    </w:p>
    <w:p w:rsidR="00ED113E" w:rsidRDefault="00ED113E" w:rsidP="00ED113E">
      <w:pPr>
        <w:pStyle w:val="aa"/>
        <w:spacing w:line="276" w:lineRule="auto"/>
        <w:ind w:left="644"/>
        <w:rPr>
          <w:rFonts w:ascii="Times New Roman" w:hAnsi="Times New Roman"/>
          <w:sz w:val="28"/>
          <w:szCs w:val="28"/>
          <w:lang w:eastAsia="ru-RU"/>
        </w:rPr>
      </w:pPr>
      <w:r>
        <w:rPr>
          <w:rFonts w:ascii="Times New Roman" w:hAnsi="Times New Roman"/>
          <w:sz w:val="28"/>
          <w:szCs w:val="28"/>
          <w:lang w:eastAsia="ru-RU"/>
        </w:rPr>
        <w:lastRenderedPageBreak/>
        <w:t>- в качестве приложений к договорам отсутствуют сметы, спецификации и пр.</w:t>
      </w:r>
    </w:p>
    <w:p w:rsidR="00ED113E" w:rsidRDefault="00ED113E" w:rsidP="00ED113E">
      <w:pPr>
        <w:pStyle w:val="aa"/>
        <w:spacing w:line="276" w:lineRule="auto"/>
        <w:ind w:left="644"/>
        <w:rPr>
          <w:rFonts w:ascii="Times New Roman" w:hAnsi="Times New Roman"/>
          <w:sz w:val="28"/>
          <w:szCs w:val="28"/>
          <w:lang w:eastAsia="ru-RU"/>
        </w:rPr>
      </w:pPr>
      <w:r>
        <w:rPr>
          <w:rFonts w:ascii="Times New Roman" w:hAnsi="Times New Roman"/>
          <w:sz w:val="28"/>
          <w:szCs w:val="28"/>
          <w:lang w:eastAsia="ru-RU"/>
        </w:rPr>
        <w:t>- дублирование контрактов, нарушение хронологии.</w:t>
      </w:r>
    </w:p>
    <w:p w:rsidR="00ED113E" w:rsidRPr="005F76C9" w:rsidRDefault="00ED113E" w:rsidP="004A2BC4">
      <w:pPr>
        <w:pStyle w:val="aa"/>
        <w:spacing w:line="276" w:lineRule="auto"/>
        <w:jc w:val="both"/>
        <w:rPr>
          <w:sz w:val="28"/>
          <w:szCs w:val="28"/>
        </w:rPr>
      </w:pPr>
      <w:r w:rsidRPr="005F76C9">
        <w:rPr>
          <w:rFonts w:ascii="Times New Roman" w:hAnsi="Times New Roman"/>
          <w:sz w:val="28"/>
          <w:szCs w:val="28"/>
        </w:rPr>
        <w:t xml:space="preserve">Содержание бюджетной отчетности об исполнении бюджета Учреждения за 2019 год не соответствует Инструкции по бюджетной отчетности для органа, организующего исполнение бюджета (в пояснительной записке не приведена форма отчетности  0503173 Сведения об изменении остатков валюты баланса, не включенная в состав бюджетной отчетности, причина ее непредставления  не указана; </w:t>
      </w:r>
      <w:proofErr w:type="gramStart"/>
      <w:r w:rsidRPr="005F76C9">
        <w:rPr>
          <w:rFonts w:ascii="Times New Roman" w:hAnsi="Times New Roman"/>
          <w:sz w:val="28"/>
          <w:szCs w:val="28"/>
        </w:rPr>
        <w:t>не в полном объеме раскрыта информация в пояснительной записке к бюджетной отчетности (Сведения о результатах</w:t>
      </w:r>
      <w:proofErr w:type="gramEnd"/>
      <w:r w:rsidRPr="005F76C9">
        <w:rPr>
          <w:rFonts w:ascii="Times New Roman" w:hAnsi="Times New Roman"/>
          <w:sz w:val="28"/>
          <w:szCs w:val="28"/>
        </w:rPr>
        <w:t xml:space="preserve"> деятельности (ф. 0503162),</w:t>
      </w:r>
      <w:r>
        <w:rPr>
          <w:rFonts w:ascii="Times New Roman" w:hAnsi="Times New Roman"/>
          <w:sz w:val="28"/>
          <w:szCs w:val="28"/>
        </w:rPr>
        <w:t xml:space="preserve"> </w:t>
      </w:r>
      <w:r w:rsidRPr="005F76C9">
        <w:rPr>
          <w:rFonts w:ascii="Times New Roman" w:hAnsi="Times New Roman"/>
          <w:sz w:val="28"/>
          <w:szCs w:val="28"/>
        </w:rPr>
        <w:t>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 (ф. 0503163)</w:t>
      </w:r>
      <w:r>
        <w:rPr>
          <w:rFonts w:ascii="Times New Roman" w:hAnsi="Times New Roman"/>
          <w:sz w:val="28"/>
          <w:szCs w:val="28"/>
        </w:rPr>
        <w:t>)</w:t>
      </w:r>
      <w:r w:rsidRPr="005F76C9">
        <w:rPr>
          <w:sz w:val="28"/>
          <w:szCs w:val="28"/>
        </w:rPr>
        <w:t>.</w:t>
      </w:r>
    </w:p>
    <w:p w:rsidR="00ED113E" w:rsidRDefault="00ED113E" w:rsidP="004A2BC4">
      <w:pPr>
        <w:pStyle w:val="aa"/>
        <w:spacing w:line="276" w:lineRule="auto"/>
        <w:rPr>
          <w:rFonts w:ascii="Times New Roman" w:hAnsi="Times New Roman"/>
          <w:sz w:val="28"/>
          <w:szCs w:val="28"/>
        </w:rPr>
      </w:pPr>
      <w:r w:rsidRPr="00B81E40">
        <w:rPr>
          <w:rFonts w:ascii="Times New Roman" w:hAnsi="Times New Roman"/>
          <w:sz w:val="28"/>
          <w:szCs w:val="28"/>
        </w:rPr>
        <w:t xml:space="preserve">В нарушение  п.п.2.3 п.2 методических указаний по проведению инвентаризации имущества и финансовых обязательств, утвержденных Приказом МФ РФ от 13.06.1995 №49 «Об утверждении методических указаний по проведению инвентаризации имущества и финансовых обязательств» в 2019 году инвентаризация по объектам нефинансовых активов проведена с грубыми нарушениями: согласно приказу учреждения </w:t>
      </w:r>
      <w:proofErr w:type="gramStart"/>
      <w:r w:rsidRPr="00B81E40">
        <w:rPr>
          <w:rFonts w:ascii="Times New Roman" w:hAnsi="Times New Roman"/>
          <w:sz w:val="28"/>
          <w:szCs w:val="28"/>
        </w:rPr>
        <w:t>от</w:t>
      </w:r>
      <w:proofErr w:type="gramEnd"/>
      <w:r w:rsidRPr="00B81E40">
        <w:rPr>
          <w:rFonts w:ascii="Times New Roman" w:hAnsi="Times New Roman"/>
          <w:sz w:val="28"/>
          <w:szCs w:val="28"/>
        </w:rPr>
        <w:t xml:space="preserve"> 02.12.2019 №184-п инвентаризация проводилась с 03.12.2019 по 06.12.2019 г., в то время как председатель инвентаризационной комиссии и член комиссии находились в командировке </w:t>
      </w:r>
      <w:r>
        <w:rPr>
          <w:rFonts w:ascii="Times New Roman" w:hAnsi="Times New Roman"/>
          <w:sz w:val="28"/>
          <w:szCs w:val="28"/>
        </w:rPr>
        <w:t>(что</w:t>
      </w:r>
      <w:r w:rsidRPr="00B81E40">
        <w:rPr>
          <w:rFonts w:ascii="Times New Roman" w:hAnsi="Times New Roman"/>
          <w:sz w:val="28"/>
          <w:szCs w:val="28"/>
        </w:rPr>
        <w:t xml:space="preserve"> служит основанием для признания результатов инвентаризации недействительными</w:t>
      </w:r>
      <w:r>
        <w:rPr>
          <w:rFonts w:ascii="Times New Roman" w:hAnsi="Times New Roman"/>
          <w:sz w:val="28"/>
          <w:szCs w:val="28"/>
        </w:rPr>
        <w:t>)</w:t>
      </w:r>
      <w:r w:rsidRPr="00B81E40">
        <w:rPr>
          <w:rFonts w:ascii="Times New Roman" w:hAnsi="Times New Roman"/>
          <w:sz w:val="28"/>
          <w:szCs w:val="28"/>
        </w:rPr>
        <w:t xml:space="preserve">.  </w:t>
      </w:r>
    </w:p>
    <w:p w:rsidR="00ED113E" w:rsidRDefault="00ED113E" w:rsidP="004A2BC4">
      <w:pPr>
        <w:pStyle w:val="aa"/>
        <w:spacing w:line="276" w:lineRule="auto"/>
        <w:rPr>
          <w:rFonts w:ascii="Times New Roman" w:hAnsi="Times New Roman"/>
          <w:sz w:val="28"/>
          <w:szCs w:val="28"/>
        </w:rPr>
      </w:pPr>
      <w:r>
        <w:rPr>
          <w:rFonts w:ascii="Times New Roman" w:hAnsi="Times New Roman"/>
          <w:sz w:val="28"/>
          <w:szCs w:val="28"/>
        </w:rPr>
        <w:t>При проверке бухгалтерского учета</w:t>
      </w:r>
      <w:r w:rsidR="008D4DB8">
        <w:rPr>
          <w:rFonts w:ascii="Times New Roman" w:hAnsi="Times New Roman"/>
          <w:sz w:val="28"/>
          <w:szCs w:val="28"/>
        </w:rPr>
        <w:t xml:space="preserve"> в</w:t>
      </w:r>
      <w:r w:rsidR="004A2BC4">
        <w:rPr>
          <w:rFonts w:ascii="Times New Roman" w:hAnsi="Times New Roman"/>
          <w:sz w:val="28"/>
          <w:szCs w:val="28"/>
        </w:rPr>
        <w:t xml:space="preserve">ыявлены нарушения </w:t>
      </w:r>
      <w:r w:rsidR="004A2BC4" w:rsidRPr="00816AF1">
        <w:rPr>
          <w:rFonts w:ascii="Times New Roman" w:hAnsi="Times New Roman"/>
          <w:sz w:val="28"/>
          <w:szCs w:val="28"/>
        </w:rPr>
        <w:t>п. 11 Приказа Минфина РФ от 01.12.2010 №157н</w:t>
      </w:r>
      <w:proofErr w:type="gramStart"/>
      <w:r w:rsidR="004A2BC4" w:rsidRPr="004A2BC4">
        <w:rPr>
          <w:rFonts w:ascii="Times New Roman" w:hAnsi="Times New Roman"/>
          <w:sz w:val="28"/>
          <w:szCs w:val="28"/>
        </w:rPr>
        <w:t xml:space="preserve"> </w:t>
      </w:r>
      <w:r w:rsidR="008D4DB8">
        <w:rPr>
          <w:rFonts w:ascii="Times New Roman" w:hAnsi="Times New Roman"/>
          <w:sz w:val="28"/>
          <w:szCs w:val="28"/>
        </w:rPr>
        <w:t>,</w:t>
      </w:r>
      <w:proofErr w:type="gramEnd"/>
      <w:r w:rsidR="004A2BC4" w:rsidRPr="00816AF1">
        <w:rPr>
          <w:rFonts w:ascii="Times New Roman" w:hAnsi="Times New Roman"/>
          <w:sz w:val="28"/>
          <w:szCs w:val="28"/>
        </w:rPr>
        <w:t>Приказа Минфина РФ от 29.11.2017 № 209н</w:t>
      </w:r>
      <w:r w:rsidR="004A2BC4" w:rsidRPr="00816AF1">
        <w:rPr>
          <w:rFonts w:ascii="Times New Roman" w:hAnsi="Times New Roman"/>
          <w:color w:val="3C3C3C"/>
          <w:spacing w:val="2"/>
          <w:sz w:val="28"/>
          <w:szCs w:val="28"/>
          <w:shd w:val="clear" w:color="auto" w:fill="FFFFFF"/>
        </w:rPr>
        <w:t xml:space="preserve"> «</w:t>
      </w:r>
      <w:r w:rsidR="004A2BC4" w:rsidRPr="00816AF1">
        <w:rPr>
          <w:rFonts w:ascii="Times New Roman" w:hAnsi="Times New Roman"/>
          <w:spacing w:val="2"/>
          <w:sz w:val="28"/>
          <w:szCs w:val="28"/>
          <w:shd w:val="clear" w:color="auto" w:fill="FFFFFF"/>
        </w:rPr>
        <w:t>Об утверждении Порядка применения классификации операций сектора государственного управления»</w:t>
      </w:r>
      <w:r w:rsidR="008D4DB8">
        <w:rPr>
          <w:rFonts w:ascii="Times New Roman" w:hAnsi="Times New Roman"/>
          <w:spacing w:val="2"/>
          <w:sz w:val="28"/>
          <w:szCs w:val="28"/>
          <w:shd w:val="clear" w:color="auto" w:fill="FFFFFF"/>
        </w:rPr>
        <w:t>,</w:t>
      </w:r>
      <w:r w:rsidR="004A2BC4" w:rsidRPr="004A2BC4">
        <w:rPr>
          <w:rFonts w:ascii="Times New Roman" w:hAnsi="Times New Roman"/>
          <w:sz w:val="28"/>
          <w:szCs w:val="28"/>
        </w:rPr>
        <w:t xml:space="preserve"> </w:t>
      </w:r>
      <w:r w:rsidR="004A2BC4" w:rsidRPr="009966BC">
        <w:rPr>
          <w:rFonts w:ascii="Times New Roman" w:hAnsi="Times New Roman"/>
          <w:sz w:val="28"/>
          <w:szCs w:val="28"/>
        </w:rPr>
        <w:t xml:space="preserve">п.п. 6.3 Указаний Банка России от 11.03.2014 N 3210-У </w:t>
      </w:r>
      <w:r w:rsidR="004A2BC4">
        <w:rPr>
          <w:rFonts w:ascii="Times New Roman" w:hAnsi="Times New Roman"/>
          <w:sz w:val="28"/>
          <w:szCs w:val="28"/>
        </w:rPr>
        <w:t>«</w:t>
      </w:r>
      <w:r w:rsidR="004A2BC4" w:rsidRPr="009966BC">
        <w:rPr>
          <w:rFonts w:ascii="Times New Roman" w:hAnsi="Times New Roman"/>
          <w:sz w:val="28"/>
          <w:szCs w:val="28"/>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4A2BC4">
        <w:rPr>
          <w:rFonts w:ascii="Times New Roman" w:hAnsi="Times New Roman"/>
          <w:sz w:val="28"/>
          <w:szCs w:val="28"/>
        </w:rPr>
        <w:t>»</w:t>
      </w:r>
      <w:r w:rsidR="008D4DB8">
        <w:rPr>
          <w:rFonts w:ascii="Times New Roman" w:hAnsi="Times New Roman"/>
          <w:sz w:val="28"/>
          <w:szCs w:val="28"/>
        </w:rPr>
        <w:t>,</w:t>
      </w:r>
      <w:r w:rsidR="004A2BC4" w:rsidRPr="004A2BC4">
        <w:rPr>
          <w:rFonts w:ascii="Times New Roman" w:hAnsi="Times New Roman"/>
          <w:sz w:val="28"/>
          <w:szCs w:val="28"/>
        </w:rPr>
        <w:t xml:space="preserve"> </w:t>
      </w:r>
      <w:r w:rsidR="004A2BC4" w:rsidRPr="00F36B11">
        <w:rPr>
          <w:rFonts w:ascii="Times New Roman" w:hAnsi="Times New Roman"/>
          <w:sz w:val="28"/>
          <w:szCs w:val="28"/>
        </w:rPr>
        <w:t>п. 6 Учетной политики в Учреждении</w:t>
      </w:r>
      <w:proofErr w:type="gramStart"/>
      <w:r w:rsidR="004A2BC4" w:rsidRPr="004A2BC4">
        <w:rPr>
          <w:rFonts w:ascii="Times New Roman" w:hAnsi="Times New Roman"/>
          <w:sz w:val="28"/>
          <w:szCs w:val="28"/>
        </w:rPr>
        <w:t xml:space="preserve"> </w:t>
      </w:r>
      <w:r w:rsidR="008D4DB8">
        <w:rPr>
          <w:rFonts w:ascii="Times New Roman" w:hAnsi="Times New Roman"/>
          <w:sz w:val="28"/>
          <w:szCs w:val="28"/>
        </w:rPr>
        <w:t>,</w:t>
      </w:r>
      <w:proofErr w:type="gramEnd"/>
      <w:r w:rsidR="004A2BC4" w:rsidRPr="00402B2E">
        <w:rPr>
          <w:rFonts w:ascii="Times New Roman" w:hAnsi="Times New Roman"/>
          <w:sz w:val="28"/>
          <w:szCs w:val="28"/>
        </w:rPr>
        <w:t>п. 8 Приказа Минфина от 01.12.2010 № 157н</w:t>
      </w:r>
      <w:r w:rsidR="004A2BC4" w:rsidRPr="004A2BC4">
        <w:rPr>
          <w:sz w:val="28"/>
          <w:szCs w:val="28"/>
        </w:rPr>
        <w:t xml:space="preserve"> </w:t>
      </w:r>
      <w:r w:rsidR="008D4DB8">
        <w:rPr>
          <w:sz w:val="28"/>
          <w:szCs w:val="28"/>
        </w:rPr>
        <w:t>,</w:t>
      </w:r>
      <w:r w:rsidR="004A2BC4" w:rsidRPr="004C1C18">
        <w:rPr>
          <w:sz w:val="28"/>
          <w:szCs w:val="28"/>
        </w:rPr>
        <w:t>п. 11 Приказа Минфина от 01.12.2010 № 157н</w:t>
      </w:r>
      <w:r w:rsidR="008D4DB8">
        <w:rPr>
          <w:sz w:val="28"/>
          <w:szCs w:val="28"/>
        </w:rPr>
        <w:t>,</w:t>
      </w:r>
      <w:r w:rsidR="004A2BC4" w:rsidRPr="005334D4">
        <w:rPr>
          <w:rFonts w:ascii="Times New Roman" w:hAnsi="Times New Roman"/>
          <w:sz w:val="28"/>
          <w:szCs w:val="28"/>
        </w:rPr>
        <w:t>п. 7 Приказа Минфина РФ от 01.12.2010 №157н</w:t>
      </w:r>
      <w:r w:rsidR="008D4DB8">
        <w:rPr>
          <w:rFonts w:ascii="Times New Roman" w:hAnsi="Times New Roman"/>
          <w:sz w:val="28"/>
          <w:szCs w:val="28"/>
        </w:rPr>
        <w:t>,</w:t>
      </w:r>
      <w:r w:rsidR="004A2BC4" w:rsidRPr="004A2BC4">
        <w:rPr>
          <w:rFonts w:ascii="Times New Roman" w:hAnsi="Times New Roman"/>
          <w:sz w:val="28"/>
          <w:szCs w:val="28"/>
        </w:rPr>
        <w:t xml:space="preserve"> </w:t>
      </w:r>
      <w:r w:rsidR="004A2BC4" w:rsidRPr="00FE3A92">
        <w:rPr>
          <w:rFonts w:ascii="Times New Roman" w:hAnsi="Times New Roman"/>
          <w:sz w:val="28"/>
          <w:szCs w:val="28"/>
        </w:rPr>
        <w:t>п. 167 Инструкции № 191н</w:t>
      </w:r>
      <w:r w:rsidR="008D4DB8" w:rsidRPr="008D4DB8">
        <w:rPr>
          <w:rFonts w:ascii="Times New Roman" w:hAnsi="Times New Roman"/>
          <w:sz w:val="28"/>
          <w:szCs w:val="28"/>
        </w:rPr>
        <w:t xml:space="preserve"> </w:t>
      </w:r>
      <w:r w:rsidR="008D4DB8">
        <w:rPr>
          <w:rFonts w:ascii="Times New Roman" w:hAnsi="Times New Roman"/>
          <w:sz w:val="28"/>
          <w:szCs w:val="28"/>
        </w:rPr>
        <w:t>,</w:t>
      </w:r>
      <w:r w:rsidR="008D4DB8" w:rsidRPr="00DA70FE">
        <w:rPr>
          <w:rFonts w:ascii="Times New Roman" w:hAnsi="Times New Roman"/>
          <w:sz w:val="28"/>
          <w:szCs w:val="28"/>
        </w:rPr>
        <w:t>Федерального закона  о бухгалтерском учете от 06.12.2011г. № 402-ФЗ</w:t>
      </w:r>
    </w:p>
    <w:p w:rsidR="00ED113E" w:rsidRPr="00072647" w:rsidRDefault="00ED113E" w:rsidP="008D4DB8">
      <w:pPr>
        <w:tabs>
          <w:tab w:val="left" w:pos="851"/>
        </w:tabs>
        <w:suppressAutoHyphens/>
        <w:spacing w:line="276" w:lineRule="auto"/>
        <w:rPr>
          <w:sz w:val="28"/>
          <w:szCs w:val="28"/>
        </w:rPr>
      </w:pPr>
      <w:r>
        <w:rPr>
          <w:sz w:val="28"/>
          <w:szCs w:val="28"/>
        </w:rPr>
        <w:t xml:space="preserve">В форме  бухгалтерской отчетности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r>
        <w:rPr>
          <w:sz w:val="28"/>
          <w:szCs w:val="28"/>
        </w:rPr>
        <w:lastRenderedPageBreak/>
        <w:t>отклонение остатков по счету 010500000 «Материальные запасы» на конец отчетного периода составило 63,8 %.</w:t>
      </w:r>
    </w:p>
    <w:p w:rsidR="00ED113E" w:rsidRPr="005D2E5A" w:rsidRDefault="00ED113E" w:rsidP="004A2BC4">
      <w:pPr>
        <w:pStyle w:val="aa"/>
        <w:spacing w:line="276" w:lineRule="auto"/>
        <w:rPr>
          <w:rFonts w:ascii="Times New Roman" w:hAnsi="Times New Roman"/>
          <w:sz w:val="28"/>
          <w:szCs w:val="28"/>
        </w:rPr>
      </w:pPr>
      <w:proofErr w:type="gramStart"/>
      <w:r w:rsidRPr="005D2E5A">
        <w:rPr>
          <w:rFonts w:ascii="Times New Roman" w:hAnsi="Times New Roman"/>
          <w:sz w:val="28"/>
          <w:szCs w:val="28"/>
        </w:rPr>
        <w:t>Выплат</w:t>
      </w:r>
      <w:r>
        <w:rPr>
          <w:rFonts w:ascii="Times New Roman" w:hAnsi="Times New Roman"/>
          <w:sz w:val="28"/>
          <w:szCs w:val="28"/>
        </w:rPr>
        <w:t>ы</w:t>
      </w:r>
      <w:r w:rsidRPr="005D2E5A">
        <w:rPr>
          <w:rFonts w:ascii="Times New Roman" w:hAnsi="Times New Roman"/>
          <w:sz w:val="28"/>
          <w:szCs w:val="28"/>
        </w:rPr>
        <w:t xml:space="preserve"> денежных средств под отчет на питание учащимся и педагогам, при их направлении на различного рода мероприятия, производится в размерах от 110,00 до 500,00 руб. на одного человека, нормативным правовым актом не закреплен</w:t>
      </w:r>
      <w:r>
        <w:rPr>
          <w:rFonts w:ascii="Times New Roman" w:hAnsi="Times New Roman"/>
          <w:sz w:val="28"/>
          <w:szCs w:val="28"/>
        </w:rPr>
        <w:t>ы Учредителем</w:t>
      </w:r>
      <w:r w:rsidRPr="005D2E5A">
        <w:rPr>
          <w:rFonts w:ascii="Times New Roman" w:hAnsi="Times New Roman"/>
          <w:sz w:val="28"/>
          <w:szCs w:val="28"/>
        </w:rPr>
        <w:t>.</w:t>
      </w:r>
      <w:proofErr w:type="gramEnd"/>
    </w:p>
    <w:p w:rsidR="00ED113E" w:rsidRDefault="00ED113E" w:rsidP="004A2BC4">
      <w:pPr>
        <w:pStyle w:val="aa"/>
        <w:spacing w:line="276" w:lineRule="auto"/>
        <w:rPr>
          <w:rFonts w:ascii="Times New Roman" w:hAnsi="Times New Roman"/>
          <w:sz w:val="28"/>
          <w:szCs w:val="28"/>
        </w:rPr>
      </w:pPr>
      <w:r>
        <w:rPr>
          <w:rFonts w:ascii="Times New Roman" w:hAnsi="Times New Roman"/>
          <w:sz w:val="28"/>
          <w:szCs w:val="28"/>
        </w:rPr>
        <w:t>При проведении мероприятий не приложены списки участвующих.</w:t>
      </w:r>
    </w:p>
    <w:p w:rsidR="00ED113E" w:rsidRDefault="00ED113E" w:rsidP="004A2BC4">
      <w:pPr>
        <w:pStyle w:val="aa"/>
        <w:spacing w:line="276" w:lineRule="auto"/>
        <w:rPr>
          <w:rFonts w:ascii="Times New Roman" w:hAnsi="Times New Roman"/>
          <w:sz w:val="28"/>
          <w:szCs w:val="28"/>
        </w:rPr>
      </w:pPr>
      <w:r>
        <w:rPr>
          <w:rFonts w:ascii="Times New Roman" w:hAnsi="Times New Roman"/>
          <w:sz w:val="28"/>
          <w:szCs w:val="28"/>
        </w:rPr>
        <w:t>Стоимость наградной продукции (сувениров, призов и т.д.), составляющая в некоторых случаях более 2000,00 руб. (2870,00 руб., 2550,00 руб., 2250,00 руб.) не регламентирована нормативными правовыми актами Учредителя.</w:t>
      </w:r>
    </w:p>
    <w:p w:rsidR="00ED113E" w:rsidRDefault="00ED113E" w:rsidP="004A2BC4">
      <w:pPr>
        <w:pStyle w:val="aa"/>
        <w:spacing w:line="276" w:lineRule="auto"/>
        <w:rPr>
          <w:rFonts w:ascii="Times New Roman" w:hAnsi="Times New Roman"/>
          <w:sz w:val="28"/>
          <w:szCs w:val="28"/>
        </w:rPr>
      </w:pPr>
      <w:proofErr w:type="gramStart"/>
      <w:r>
        <w:rPr>
          <w:rFonts w:ascii="Times New Roman" w:hAnsi="Times New Roman"/>
          <w:sz w:val="28"/>
          <w:szCs w:val="28"/>
        </w:rPr>
        <w:t>В</w:t>
      </w:r>
      <w:r w:rsidRPr="00D37461">
        <w:rPr>
          <w:rFonts w:ascii="Times New Roman" w:hAnsi="Times New Roman"/>
          <w:sz w:val="28"/>
          <w:szCs w:val="28"/>
        </w:rPr>
        <w:t xml:space="preserve"> Положении об оплате труда в Учреждении размер стимулирующих выплат  для категорий работников по некоторым критериям</w:t>
      </w:r>
      <w:proofErr w:type="gramEnd"/>
      <w:r w:rsidRPr="00D37461">
        <w:rPr>
          <w:rFonts w:ascii="Times New Roman" w:hAnsi="Times New Roman"/>
          <w:sz w:val="28"/>
          <w:szCs w:val="28"/>
        </w:rPr>
        <w:t xml:space="preserve"> указан с предлогом «до»: </w:t>
      </w:r>
      <w:proofErr w:type="gramStart"/>
      <w:r w:rsidRPr="00D37461">
        <w:rPr>
          <w:rFonts w:ascii="Times New Roman" w:hAnsi="Times New Roman"/>
          <w:sz w:val="28"/>
          <w:szCs w:val="28"/>
        </w:rPr>
        <w:t xml:space="preserve">в процентном соотношении для  </w:t>
      </w:r>
      <w:r>
        <w:rPr>
          <w:rFonts w:ascii="Times New Roman" w:hAnsi="Times New Roman"/>
          <w:sz w:val="28"/>
          <w:szCs w:val="28"/>
        </w:rPr>
        <w:t>надбавок постоянного характера</w:t>
      </w:r>
      <w:r w:rsidRPr="00D37461">
        <w:rPr>
          <w:rFonts w:ascii="Times New Roman" w:hAnsi="Times New Roman"/>
          <w:sz w:val="28"/>
          <w:szCs w:val="28"/>
        </w:rPr>
        <w:t xml:space="preserve"> (п</w:t>
      </w:r>
      <w:r>
        <w:rPr>
          <w:rFonts w:ascii="Times New Roman" w:hAnsi="Times New Roman"/>
          <w:sz w:val="28"/>
          <w:szCs w:val="28"/>
        </w:rPr>
        <w:t>риложение №2</w:t>
      </w:r>
      <w:r w:rsidRPr="00D37461">
        <w:rPr>
          <w:rFonts w:ascii="Times New Roman" w:hAnsi="Times New Roman"/>
          <w:sz w:val="28"/>
          <w:szCs w:val="28"/>
        </w:rPr>
        <w:t>)</w:t>
      </w:r>
      <w:r>
        <w:rPr>
          <w:rFonts w:ascii="Times New Roman" w:hAnsi="Times New Roman"/>
          <w:sz w:val="28"/>
          <w:szCs w:val="28"/>
        </w:rPr>
        <w:t>, например, от 8  % до 20 %, до 20 % и т.д.,</w:t>
      </w:r>
      <w:r w:rsidRPr="00D37461">
        <w:rPr>
          <w:rFonts w:ascii="Times New Roman" w:hAnsi="Times New Roman"/>
          <w:sz w:val="28"/>
          <w:szCs w:val="28"/>
        </w:rPr>
        <w:t xml:space="preserve"> и в баллах </w:t>
      </w:r>
      <w:r>
        <w:rPr>
          <w:rFonts w:ascii="Times New Roman" w:hAnsi="Times New Roman"/>
          <w:sz w:val="28"/>
          <w:szCs w:val="28"/>
        </w:rPr>
        <w:t>по перечню критериев оценивания за качественные показатели работы</w:t>
      </w:r>
      <w:r w:rsidRPr="00D37461">
        <w:rPr>
          <w:rFonts w:ascii="Times New Roman" w:hAnsi="Times New Roman"/>
          <w:sz w:val="28"/>
          <w:szCs w:val="28"/>
        </w:rPr>
        <w:t xml:space="preserve"> (п</w:t>
      </w:r>
      <w:r>
        <w:rPr>
          <w:rFonts w:ascii="Times New Roman" w:hAnsi="Times New Roman"/>
          <w:sz w:val="28"/>
          <w:szCs w:val="28"/>
        </w:rPr>
        <w:t>риложение № 3</w:t>
      </w:r>
      <w:r w:rsidRPr="00D37461">
        <w:rPr>
          <w:rFonts w:ascii="Times New Roman" w:hAnsi="Times New Roman"/>
          <w:sz w:val="28"/>
          <w:szCs w:val="28"/>
        </w:rPr>
        <w:t>),</w:t>
      </w:r>
      <w:r>
        <w:rPr>
          <w:rFonts w:ascii="Times New Roman" w:hAnsi="Times New Roman"/>
          <w:sz w:val="28"/>
          <w:szCs w:val="28"/>
        </w:rPr>
        <w:t xml:space="preserve"> например, 3-5 баллов, 1-10 баллов и т.д.,</w:t>
      </w:r>
      <w:r w:rsidRPr="00D37461">
        <w:rPr>
          <w:rFonts w:ascii="Times New Roman" w:hAnsi="Times New Roman"/>
          <w:sz w:val="28"/>
          <w:szCs w:val="28"/>
        </w:rPr>
        <w:t xml:space="preserve">  что не позволяет определить, в каком случае </w:t>
      </w:r>
      <w:r>
        <w:rPr>
          <w:rFonts w:ascii="Times New Roman" w:hAnsi="Times New Roman"/>
          <w:sz w:val="28"/>
          <w:szCs w:val="28"/>
        </w:rPr>
        <w:t xml:space="preserve">сотрудник </w:t>
      </w:r>
      <w:r w:rsidRPr="00D37461">
        <w:rPr>
          <w:rFonts w:ascii="Times New Roman" w:hAnsi="Times New Roman"/>
          <w:sz w:val="28"/>
          <w:szCs w:val="28"/>
        </w:rPr>
        <w:t xml:space="preserve"> получит тот или иной процент</w:t>
      </w:r>
      <w:r>
        <w:rPr>
          <w:rFonts w:ascii="Times New Roman" w:hAnsi="Times New Roman"/>
          <w:sz w:val="28"/>
          <w:szCs w:val="28"/>
        </w:rPr>
        <w:t xml:space="preserve"> или</w:t>
      </w:r>
      <w:r w:rsidRPr="00D37461">
        <w:rPr>
          <w:rFonts w:ascii="Times New Roman" w:hAnsi="Times New Roman"/>
          <w:sz w:val="28"/>
          <w:szCs w:val="28"/>
        </w:rPr>
        <w:t xml:space="preserve"> балл</w:t>
      </w:r>
      <w:r>
        <w:rPr>
          <w:rFonts w:ascii="Times New Roman" w:hAnsi="Times New Roman"/>
          <w:sz w:val="28"/>
          <w:szCs w:val="28"/>
        </w:rPr>
        <w:t>;</w:t>
      </w:r>
      <w:proofErr w:type="gramEnd"/>
    </w:p>
    <w:p w:rsidR="00ED113E" w:rsidRPr="00523A9C" w:rsidRDefault="00ED113E" w:rsidP="004A2BC4">
      <w:pPr>
        <w:pStyle w:val="aa"/>
        <w:spacing w:line="276" w:lineRule="auto"/>
        <w:rPr>
          <w:rFonts w:ascii="Times New Roman" w:hAnsi="Times New Roman"/>
          <w:sz w:val="28"/>
          <w:szCs w:val="28"/>
        </w:rPr>
      </w:pPr>
      <w:r>
        <w:rPr>
          <w:rFonts w:ascii="Times New Roman" w:hAnsi="Times New Roman"/>
          <w:sz w:val="28"/>
          <w:szCs w:val="28"/>
        </w:rPr>
        <w:t>И</w:t>
      </w:r>
      <w:r w:rsidRPr="00523A9C">
        <w:rPr>
          <w:rFonts w:ascii="Times New Roman" w:hAnsi="Times New Roman"/>
          <w:sz w:val="28"/>
          <w:szCs w:val="28"/>
        </w:rPr>
        <w:t xml:space="preserve">меют место быть случаи несовпадения оценки комиссии по баллам в листах самооценки сотрудников и по протоколам заседаний комиссии (протоколы от 27.05.2019 № 5, от 24.06.2019 № 6, от 26.08.2019 № 8, от 27.09.2019 № 9, от 26.11.2019 № </w:t>
      </w:r>
      <w:r w:rsidR="008D4DB8">
        <w:rPr>
          <w:rFonts w:ascii="Times New Roman" w:hAnsi="Times New Roman"/>
          <w:sz w:val="28"/>
          <w:szCs w:val="28"/>
        </w:rPr>
        <w:t>11</w:t>
      </w:r>
      <w:r w:rsidRPr="00523A9C">
        <w:rPr>
          <w:rFonts w:ascii="Times New Roman" w:hAnsi="Times New Roman"/>
          <w:sz w:val="28"/>
          <w:szCs w:val="28"/>
        </w:rPr>
        <w:t xml:space="preserve"> по распределению стимулирующей части  ФОТ работников МКУ ДО «Дом творчества детей и молодежи»;</w:t>
      </w:r>
    </w:p>
    <w:p w:rsidR="00ED113E" w:rsidRPr="004A2BC4" w:rsidRDefault="00ED113E" w:rsidP="004A2BC4">
      <w:pPr>
        <w:spacing w:after="200" w:line="276" w:lineRule="auto"/>
        <w:contextualSpacing/>
        <w:jc w:val="both"/>
        <w:rPr>
          <w:sz w:val="28"/>
          <w:szCs w:val="28"/>
        </w:rPr>
      </w:pPr>
      <w:r w:rsidRPr="004A2BC4">
        <w:rPr>
          <w:sz w:val="28"/>
          <w:szCs w:val="28"/>
        </w:rPr>
        <w:t>В нарушение ст. 60</w:t>
      </w:r>
      <w:r w:rsidRPr="004A2BC4">
        <w:rPr>
          <w:sz w:val="28"/>
          <w:szCs w:val="28"/>
          <w:vertAlign w:val="superscript"/>
        </w:rPr>
        <w:t>2 Т</w:t>
      </w:r>
      <w:r w:rsidRPr="004A2BC4">
        <w:rPr>
          <w:sz w:val="28"/>
          <w:szCs w:val="28"/>
        </w:rPr>
        <w:t>К РФ работодателем не установлено содержание дополнительной работы, ее объем, отсутствует письменное согласие работников (сторожей) на выполнение дополнительной работы по приказу директора учреждения от 30.08.2019 № 158-К «Об увеличении объема работ»  (с 01.09.2019 по 31.08.2020 г.)</w:t>
      </w:r>
      <w:proofErr w:type="gramStart"/>
      <w:r w:rsidRPr="004A2BC4">
        <w:rPr>
          <w:sz w:val="28"/>
          <w:szCs w:val="28"/>
        </w:rPr>
        <w:t xml:space="preserve"> </w:t>
      </w:r>
      <w:r w:rsidR="008D4DB8">
        <w:rPr>
          <w:sz w:val="28"/>
          <w:szCs w:val="28"/>
        </w:rPr>
        <w:t>.</w:t>
      </w:r>
      <w:proofErr w:type="gramEnd"/>
      <w:r w:rsidRPr="004A2BC4">
        <w:rPr>
          <w:sz w:val="28"/>
          <w:szCs w:val="28"/>
        </w:rPr>
        <w:t xml:space="preserve">. </w:t>
      </w:r>
    </w:p>
    <w:p w:rsidR="00ED113E" w:rsidRPr="00E510E3" w:rsidRDefault="00ED113E" w:rsidP="00ED113E">
      <w:pPr>
        <w:pStyle w:val="a9"/>
        <w:suppressAutoHyphens w:val="0"/>
        <w:spacing w:after="200" w:line="276" w:lineRule="auto"/>
        <w:ind w:left="360"/>
        <w:contextualSpacing/>
        <w:jc w:val="both"/>
        <w:rPr>
          <w:sz w:val="28"/>
          <w:szCs w:val="28"/>
        </w:rPr>
      </w:pPr>
      <w:r>
        <w:rPr>
          <w:sz w:val="28"/>
          <w:szCs w:val="28"/>
        </w:rPr>
        <w:t>По результатам контрольного мероприятия директору Учреждения было направлено представление об устранении нарушений.</w:t>
      </w:r>
    </w:p>
    <w:p w:rsidR="00ED113E" w:rsidRDefault="00ED113E" w:rsidP="00ED113E">
      <w:pPr>
        <w:rPr>
          <w:sz w:val="28"/>
          <w:szCs w:val="28"/>
        </w:rPr>
      </w:pPr>
    </w:p>
    <w:p w:rsidR="00ED113E" w:rsidRDefault="00ED113E" w:rsidP="00ED113E">
      <w:pPr>
        <w:rPr>
          <w:sz w:val="28"/>
          <w:szCs w:val="28"/>
        </w:rPr>
      </w:pPr>
    </w:p>
    <w:p w:rsidR="00ED113E" w:rsidRPr="00CF2B80" w:rsidRDefault="00ED113E" w:rsidP="00ED113E">
      <w:pPr>
        <w:rPr>
          <w:sz w:val="28"/>
          <w:szCs w:val="28"/>
        </w:rPr>
      </w:pPr>
      <w:r w:rsidRPr="00CF2B80">
        <w:rPr>
          <w:sz w:val="28"/>
          <w:szCs w:val="28"/>
        </w:rPr>
        <w:t xml:space="preserve">Председатель ревизионной комиссии </w:t>
      </w:r>
    </w:p>
    <w:p w:rsidR="00ED113E" w:rsidRPr="00CF2B80" w:rsidRDefault="00ED113E" w:rsidP="00ED113E">
      <w:pPr>
        <w:tabs>
          <w:tab w:val="left" w:pos="6210"/>
        </w:tabs>
        <w:rPr>
          <w:sz w:val="28"/>
          <w:szCs w:val="28"/>
        </w:rPr>
      </w:pPr>
      <w:r w:rsidRPr="00CF2B80">
        <w:rPr>
          <w:sz w:val="28"/>
          <w:szCs w:val="28"/>
        </w:rPr>
        <w:t xml:space="preserve">Убинского района                                         </w:t>
      </w:r>
      <w:r w:rsidRPr="00CF2B80">
        <w:rPr>
          <w:sz w:val="28"/>
          <w:szCs w:val="28"/>
        </w:rPr>
        <w:tab/>
        <w:t>А.Ф.Жукова</w:t>
      </w:r>
    </w:p>
    <w:p w:rsidR="00A709D6" w:rsidRDefault="00A709D6"/>
    <w:sectPr w:rsidR="00A709D6" w:rsidSect="00A709D6">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2309" w:rsidRDefault="00CF2309" w:rsidP="00ED113E">
      <w:r>
        <w:separator/>
      </w:r>
    </w:p>
  </w:endnote>
  <w:endnote w:type="continuationSeparator" w:id="0">
    <w:p w:rsidR="00CF2309" w:rsidRDefault="00CF2309" w:rsidP="00ED11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10509"/>
      <w:docPartObj>
        <w:docPartGallery w:val="Page Numbers (Bottom of Page)"/>
        <w:docPartUnique/>
      </w:docPartObj>
    </w:sdtPr>
    <w:sdtContent>
      <w:p w:rsidR="00ED113E" w:rsidRDefault="002A148B">
        <w:pPr>
          <w:pStyle w:val="ad"/>
          <w:jc w:val="right"/>
        </w:pPr>
        <w:fldSimple w:instr=" PAGE   \* MERGEFORMAT ">
          <w:r w:rsidR="008D4DB8">
            <w:rPr>
              <w:noProof/>
            </w:rPr>
            <w:t>3</w:t>
          </w:r>
        </w:fldSimple>
      </w:p>
    </w:sdtContent>
  </w:sdt>
  <w:p w:rsidR="00ED113E" w:rsidRDefault="00ED113E">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2309" w:rsidRDefault="00CF2309" w:rsidP="00ED113E">
      <w:r>
        <w:separator/>
      </w:r>
    </w:p>
  </w:footnote>
  <w:footnote w:type="continuationSeparator" w:id="0">
    <w:p w:rsidR="00CF2309" w:rsidRDefault="00CF2309" w:rsidP="00ED11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CC117F"/>
    <w:multiLevelType w:val="hybridMultilevel"/>
    <w:tmpl w:val="E2B6F42E"/>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
    <w:nsid w:val="4E235208"/>
    <w:multiLevelType w:val="hybridMultilevel"/>
    <w:tmpl w:val="C34E0F2C"/>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nsid w:val="6E504ED1"/>
    <w:multiLevelType w:val="hybridMultilevel"/>
    <w:tmpl w:val="92402400"/>
    <w:lvl w:ilvl="0" w:tplc="DBBEB07C">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15C351F"/>
    <w:multiLevelType w:val="hybridMultilevel"/>
    <w:tmpl w:val="EACC313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113E"/>
    <w:rsid w:val="00024FAE"/>
    <w:rsid w:val="001D3D67"/>
    <w:rsid w:val="00257F01"/>
    <w:rsid w:val="002A148B"/>
    <w:rsid w:val="004257B6"/>
    <w:rsid w:val="004A2BC4"/>
    <w:rsid w:val="008D4DB8"/>
    <w:rsid w:val="009E7350"/>
    <w:rsid w:val="00A709D6"/>
    <w:rsid w:val="00CF2309"/>
    <w:rsid w:val="00ED113E"/>
    <w:rsid w:val="00F563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13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113E"/>
    <w:rPr>
      <w:rFonts w:ascii="Tahoma" w:hAnsi="Tahoma" w:cs="Tahoma"/>
      <w:sz w:val="16"/>
      <w:szCs w:val="16"/>
    </w:rPr>
  </w:style>
  <w:style w:type="character" w:customStyle="1" w:styleId="a4">
    <w:name w:val="Текст выноски Знак"/>
    <w:basedOn w:val="a0"/>
    <w:link w:val="a3"/>
    <w:uiPriority w:val="99"/>
    <w:semiHidden/>
    <w:rsid w:val="00ED113E"/>
    <w:rPr>
      <w:rFonts w:ascii="Tahoma" w:hAnsi="Tahoma" w:cs="Tahoma"/>
      <w:sz w:val="16"/>
      <w:szCs w:val="16"/>
    </w:rPr>
  </w:style>
  <w:style w:type="paragraph" w:styleId="a5">
    <w:name w:val="Document Map"/>
    <w:basedOn w:val="a"/>
    <w:link w:val="a6"/>
    <w:uiPriority w:val="99"/>
    <w:semiHidden/>
    <w:unhideWhenUsed/>
    <w:rsid w:val="00ED113E"/>
    <w:rPr>
      <w:rFonts w:ascii="Tahoma" w:hAnsi="Tahoma" w:cs="Tahoma"/>
      <w:sz w:val="16"/>
      <w:szCs w:val="16"/>
    </w:rPr>
  </w:style>
  <w:style w:type="character" w:customStyle="1" w:styleId="a6">
    <w:name w:val="Схема документа Знак"/>
    <w:basedOn w:val="a0"/>
    <w:link w:val="a5"/>
    <w:uiPriority w:val="99"/>
    <w:semiHidden/>
    <w:rsid w:val="00ED113E"/>
    <w:rPr>
      <w:rFonts w:ascii="Tahoma" w:hAnsi="Tahoma" w:cs="Tahoma"/>
      <w:sz w:val="16"/>
      <w:szCs w:val="16"/>
    </w:rPr>
  </w:style>
  <w:style w:type="paragraph" w:styleId="a7">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8"/>
    <w:rsid w:val="00ED113E"/>
    <w:pPr>
      <w:spacing w:after="120"/>
    </w:pPr>
  </w:style>
  <w:style w:type="character" w:customStyle="1" w:styleId="a8">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7"/>
    <w:rsid w:val="00ED113E"/>
    <w:rPr>
      <w:sz w:val="24"/>
      <w:szCs w:val="24"/>
    </w:rPr>
  </w:style>
  <w:style w:type="paragraph" w:styleId="a9">
    <w:name w:val="List Paragraph"/>
    <w:basedOn w:val="a"/>
    <w:uiPriority w:val="34"/>
    <w:qFormat/>
    <w:rsid w:val="00ED113E"/>
    <w:pPr>
      <w:suppressAutoHyphens/>
      <w:ind w:left="708"/>
    </w:pPr>
    <w:rPr>
      <w:lang w:eastAsia="ar-SA"/>
    </w:rPr>
  </w:style>
  <w:style w:type="paragraph" w:styleId="aa">
    <w:name w:val="No Spacing"/>
    <w:uiPriority w:val="1"/>
    <w:qFormat/>
    <w:rsid w:val="00ED113E"/>
    <w:pPr>
      <w:spacing w:after="0" w:line="240" w:lineRule="auto"/>
    </w:pPr>
    <w:rPr>
      <w:rFonts w:ascii="Calibri" w:eastAsia="Calibri" w:hAnsi="Calibri"/>
      <w:lang w:eastAsia="en-US"/>
    </w:rPr>
  </w:style>
  <w:style w:type="paragraph" w:styleId="ab">
    <w:name w:val="header"/>
    <w:basedOn w:val="a"/>
    <w:link w:val="ac"/>
    <w:uiPriority w:val="99"/>
    <w:semiHidden/>
    <w:unhideWhenUsed/>
    <w:rsid w:val="00ED113E"/>
    <w:pPr>
      <w:tabs>
        <w:tab w:val="center" w:pos="4677"/>
        <w:tab w:val="right" w:pos="9355"/>
      </w:tabs>
    </w:pPr>
  </w:style>
  <w:style w:type="character" w:customStyle="1" w:styleId="ac">
    <w:name w:val="Верхний колонтитул Знак"/>
    <w:basedOn w:val="a0"/>
    <w:link w:val="ab"/>
    <w:uiPriority w:val="99"/>
    <w:semiHidden/>
    <w:rsid w:val="00ED113E"/>
    <w:rPr>
      <w:sz w:val="24"/>
      <w:szCs w:val="24"/>
    </w:rPr>
  </w:style>
  <w:style w:type="paragraph" w:styleId="ad">
    <w:name w:val="footer"/>
    <w:basedOn w:val="a"/>
    <w:link w:val="ae"/>
    <w:uiPriority w:val="99"/>
    <w:unhideWhenUsed/>
    <w:rsid w:val="00ED113E"/>
    <w:pPr>
      <w:tabs>
        <w:tab w:val="center" w:pos="4677"/>
        <w:tab w:val="right" w:pos="9355"/>
      </w:tabs>
    </w:pPr>
  </w:style>
  <w:style w:type="character" w:customStyle="1" w:styleId="ae">
    <w:name w:val="Нижний колонтитул Знак"/>
    <w:basedOn w:val="a0"/>
    <w:link w:val="ad"/>
    <w:uiPriority w:val="99"/>
    <w:rsid w:val="00ED113E"/>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956</Words>
  <Characters>5452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2020-11-13T09:41:00Z</dcterms:created>
  <dcterms:modified xsi:type="dcterms:W3CDTF">2020-11-16T05:39:00Z</dcterms:modified>
</cp:coreProperties>
</file>